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540D7ECD">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1AD7B175">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508A20"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68AE8DA2"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[Your Organization's Name]</w:t>
      </w:r>
    </w:p>
    <w:p w14:paraId="0B7C703F"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[Conflict of Interest Policy]</w:t>
      </w:r>
    </w:p>
    <w:p w14:paraId="3FEAE60C" w14:textId="77777777" w:rsidR="00545FD7" w:rsidRPr="00545FD7" w:rsidRDefault="00545FD7" w:rsidP="00545FD7">
      <w:pPr>
        <w:rPr>
          <w:rFonts w:ascii="Calibri" w:eastAsia="Times New Roman" w:hAnsi="Calibri" w:cs="Calibri"/>
        </w:rPr>
      </w:pPr>
    </w:p>
    <w:p w14:paraId="4F4A9117"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At [Your Organization's Name], we are committed to upholding the highest standards of integrity, transparency, and accountability. This policy outlines the guidelines for identifying and managing potential conflicts of interest involving board members, staff, or volunteers. By adhering to this policy, we ensure that decisions and actions are made in the best interest of the organization and avoid conflicts that could compromise our mission and reputation.</w:t>
      </w:r>
    </w:p>
    <w:p w14:paraId="7AACF944" w14:textId="77777777" w:rsidR="00545FD7" w:rsidRPr="00545FD7" w:rsidRDefault="00545FD7" w:rsidP="00545FD7">
      <w:pPr>
        <w:rPr>
          <w:rFonts w:ascii="Calibri" w:eastAsia="Times New Roman" w:hAnsi="Calibri" w:cs="Calibri"/>
        </w:rPr>
      </w:pPr>
    </w:p>
    <w:p w14:paraId="58E3A4B5" w14:textId="77777777" w:rsidR="00545FD7" w:rsidRPr="00545FD7" w:rsidRDefault="00545FD7" w:rsidP="00545FD7">
      <w:pPr>
        <w:rPr>
          <w:rFonts w:ascii="Calibri" w:eastAsia="Times New Roman" w:hAnsi="Calibri" w:cs="Calibri"/>
          <w:b/>
          <w:bCs/>
        </w:rPr>
      </w:pPr>
      <w:r w:rsidRPr="00545FD7">
        <w:rPr>
          <w:rFonts w:ascii="Calibri" w:eastAsia="Times New Roman" w:hAnsi="Calibri" w:cs="Calibri"/>
          <w:b/>
          <w:bCs/>
        </w:rPr>
        <w:t>Definition of Conflict of Interest:</w:t>
      </w:r>
    </w:p>
    <w:p w14:paraId="30328919"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1.1. A conflict of interest occurs when an individual's personal or financial interests could influence, or appear to influence, their judgment or actions in carrying out their duties and responsibilities on behalf of the organization.</w:t>
      </w:r>
    </w:p>
    <w:p w14:paraId="1DC259A7"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1.2. Conflicts of interest can arise in various situations, including financial transactions, relationships with vendors or suppliers, potential competing commitments, or other circumstances that may compromise objectivity and impartiality.</w:t>
      </w:r>
    </w:p>
    <w:p w14:paraId="43F61FC7" w14:textId="77777777" w:rsidR="00545FD7" w:rsidRPr="00545FD7" w:rsidRDefault="00545FD7" w:rsidP="00545FD7">
      <w:pPr>
        <w:rPr>
          <w:rFonts w:ascii="Calibri" w:eastAsia="Times New Roman" w:hAnsi="Calibri" w:cs="Calibri"/>
        </w:rPr>
      </w:pPr>
    </w:p>
    <w:p w14:paraId="542DF367" w14:textId="77777777" w:rsidR="00545FD7" w:rsidRPr="00545FD7" w:rsidRDefault="00545FD7" w:rsidP="00545FD7">
      <w:pPr>
        <w:rPr>
          <w:rFonts w:ascii="Calibri" w:eastAsia="Times New Roman" w:hAnsi="Calibri" w:cs="Calibri"/>
          <w:b/>
          <w:bCs/>
        </w:rPr>
      </w:pPr>
      <w:r w:rsidRPr="00545FD7">
        <w:rPr>
          <w:rFonts w:ascii="Calibri" w:eastAsia="Times New Roman" w:hAnsi="Calibri" w:cs="Calibri"/>
          <w:b/>
          <w:bCs/>
        </w:rPr>
        <w:t>Disclosure and Identification:</w:t>
      </w:r>
    </w:p>
    <w:p w14:paraId="01DF95A8"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 xml:space="preserve">2.1. All board members, staff, and volunteers have a duty to disclose any potential conflicts of interest that may arise </w:t>
      </w:r>
      <w:proofErr w:type="gramStart"/>
      <w:r w:rsidRPr="00545FD7">
        <w:rPr>
          <w:rFonts w:ascii="Calibri" w:eastAsia="Times New Roman" w:hAnsi="Calibri" w:cs="Calibri"/>
        </w:rPr>
        <w:t>in the course of</w:t>
      </w:r>
      <w:proofErr w:type="gramEnd"/>
      <w:r w:rsidRPr="00545FD7">
        <w:rPr>
          <w:rFonts w:ascii="Calibri" w:eastAsia="Times New Roman" w:hAnsi="Calibri" w:cs="Calibri"/>
        </w:rPr>
        <w:t xml:space="preserve"> their involvement with the organization.</w:t>
      </w:r>
    </w:p>
    <w:p w14:paraId="797CFC55"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 xml:space="preserve">2.2. Conflicts of interest should be disclosed in writing to the designated authority, such as the executive director or a </w:t>
      </w:r>
      <w:proofErr w:type="gramStart"/>
      <w:r w:rsidRPr="00545FD7">
        <w:rPr>
          <w:rFonts w:ascii="Calibri" w:eastAsia="Times New Roman" w:hAnsi="Calibri" w:cs="Calibri"/>
        </w:rPr>
        <w:t>conflict of interest</w:t>
      </w:r>
      <w:proofErr w:type="gramEnd"/>
      <w:r w:rsidRPr="00545FD7">
        <w:rPr>
          <w:rFonts w:ascii="Calibri" w:eastAsia="Times New Roman" w:hAnsi="Calibri" w:cs="Calibri"/>
        </w:rPr>
        <w:t xml:space="preserve"> committee, using a standardized disclosure form or process.</w:t>
      </w:r>
    </w:p>
    <w:p w14:paraId="4AE952D3"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2.3. Disclosures should include relevant details, such as the nature of the conflict, individuals or entities involved, and any potential impact on the organization's activities or decisions.</w:t>
      </w:r>
    </w:p>
    <w:p w14:paraId="741B427D" w14:textId="77777777" w:rsidR="00545FD7" w:rsidRPr="00545FD7" w:rsidRDefault="00545FD7" w:rsidP="00545FD7">
      <w:pPr>
        <w:rPr>
          <w:rFonts w:ascii="Calibri" w:eastAsia="Times New Roman" w:hAnsi="Calibri" w:cs="Calibri"/>
        </w:rPr>
      </w:pPr>
    </w:p>
    <w:p w14:paraId="54D2AD72" w14:textId="77777777" w:rsidR="00545FD7" w:rsidRPr="00545FD7" w:rsidRDefault="00545FD7" w:rsidP="00545FD7">
      <w:pPr>
        <w:rPr>
          <w:rFonts w:ascii="Calibri" w:eastAsia="Times New Roman" w:hAnsi="Calibri" w:cs="Calibri"/>
          <w:b/>
          <w:bCs/>
        </w:rPr>
      </w:pPr>
      <w:r w:rsidRPr="00545FD7">
        <w:rPr>
          <w:rFonts w:ascii="Calibri" w:eastAsia="Times New Roman" w:hAnsi="Calibri" w:cs="Calibri"/>
          <w:b/>
          <w:bCs/>
        </w:rPr>
        <w:t>Review and Evaluation:</w:t>
      </w:r>
    </w:p>
    <w:p w14:paraId="3154C7F4"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3.1. Conflicts of interest disclosures will be reviewed by the designated authority to determine the significance of the conflict and potential impact on the organization.</w:t>
      </w:r>
    </w:p>
    <w:p w14:paraId="1C87B7CE"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3.2. The designated authority may seek additional information or clarification from the individual disclosing the conflict or other relevant parties as necessary.</w:t>
      </w:r>
    </w:p>
    <w:p w14:paraId="1DA31D59"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3.3. The review process should be conducted confidentially, and information disclosed should be handled with discretion and confidentiality.</w:t>
      </w:r>
    </w:p>
    <w:p w14:paraId="15A9AC10" w14:textId="77777777" w:rsidR="00545FD7" w:rsidRPr="00545FD7" w:rsidRDefault="00545FD7" w:rsidP="00545FD7">
      <w:pPr>
        <w:rPr>
          <w:rFonts w:ascii="Calibri" w:eastAsia="Times New Roman" w:hAnsi="Calibri" w:cs="Calibri"/>
        </w:rPr>
      </w:pPr>
    </w:p>
    <w:p w14:paraId="293A954A" w14:textId="77777777" w:rsidR="00545FD7" w:rsidRPr="00545FD7" w:rsidRDefault="00545FD7" w:rsidP="00545FD7">
      <w:pPr>
        <w:rPr>
          <w:rFonts w:ascii="Calibri" w:eastAsia="Times New Roman" w:hAnsi="Calibri" w:cs="Calibri"/>
          <w:b/>
          <w:bCs/>
        </w:rPr>
      </w:pPr>
      <w:r w:rsidRPr="00545FD7">
        <w:rPr>
          <w:rFonts w:ascii="Calibri" w:eastAsia="Times New Roman" w:hAnsi="Calibri" w:cs="Calibri"/>
          <w:b/>
          <w:bCs/>
        </w:rPr>
        <w:lastRenderedPageBreak/>
        <w:t>Management and Mitigation:</w:t>
      </w:r>
    </w:p>
    <w:p w14:paraId="477E098E"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4.1. Upon review, the designated authority will determine appropriate actions to manage and mitigate conflicts of interest, which may include one or more of the following:</w:t>
      </w:r>
    </w:p>
    <w:p w14:paraId="494165FA"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a. Removal of the conflicted individual from decision-making processes related to the conflict.</w:t>
      </w:r>
    </w:p>
    <w:p w14:paraId="6CF1F60B"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b. Requiring the conflicted individual to recuse themselves from discussions or votes related to the conflict.</w:t>
      </w:r>
    </w:p>
    <w:p w14:paraId="1978F61D"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c. Imposing specific conditions or restrictions to minimize the impact of the conflict.</w:t>
      </w:r>
    </w:p>
    <w:p w14:paraId="50868296"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d. Seeking independent expert advice or opinions to ensure transparency and objectivity.</w:t>
      </w:r>
    </w:p>
    <w:p w14:paraId="534C9C58"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e. Taking any other actions deemed necessary to address the conflict and protect the organization's interests.</w:t>
      </w:r>
    </w:p>
    <w:p w14:paraId="3D16AC5E"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4.2. Conflicts of interest and their management should be documented, including actions taken, rationale for decisions, and any resulting agreements or resolutions.</w:t>
      </w:r>
    </w:p>
    <w:p w14:paraId="29DF682B" w14:textId="77777777" w:rsidR="00545FD7" w:rsidRPr="00545FD7" w:rsidRDefault="00545FD7" w:rsidP="00545FD7">
      <w:pPr>
        <w:rPr>
          <w:rFonts w:ascii="Calibri" w:eastAsia="Times New Roman" w:hAnsi="Calibri" w:cs="Calibri"/>
          <w:b/>
          <w:bCs/>
        </w:rPr>
      </w:pPr>
    </w:p>
    <w:p w14:paraId="7AAC012D" w14:textId="77777777" w:rsidR="00545FD7" w:rsidRPr="00545FD7" w:rsidRDefault="00545FD7" w:rsidP="00545FD7">
      <w:pPr>
        <w:rPr>
          <w:rFonts w:ascii="Calibri" w:eastAsia="Times New Roman" w:hAnsi="Calibri" w:cs="Calibri"/>
          <w:b/>
          <w:bCs/>
        </w:rPr>
      </w:pPr>
      <w:r w:rsidRPr="00545FD7">
        <w:rPr>
          <w:rFonts w:ascii="Calibri" w:eastAsia="Times New Roman" w:hAnsi="Calibri" w:cs="Calibri"/>
          <w:b/>
          <w:bCs/>
        </w:rPr>
        <w:t>Annual Declarations:</w:t>
      </w:r>
    </w:p>
    <w:p w14:paraId="33B60718"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5.1. Board members, staff, and volunteers will be required to submit annual conflict of interest declarations, reaffirming their understanding of the policy and disclosing any new or ongoing conflicts of interest.</w:t>
      </w:r>
    </w:p>
    <w:p w14:paraId="693B0559"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5.2. The annual declarations will be kept on record and reviewed to ensure ongoing compliance with the policy.</w:t>
      </w:r>
    </w:p>
    <w:p w14:paraId="18491B2D" w14:textId="77777777" w:rsidR="00545FD7" w:rsidRPr="00545FD7" w:rsidRDefault="00545FD7" w:rsidP="00545FD7">
      <w:pPr>
        <w:rPr>
          <w:rFonts w:ascii="Calibri" w:eastAsia="Times New Roman" w:hAnsi="Calibri" w:cs="Calibri"/>
        </w:rPr>
      </w:pPr>
    </w:p>
    <w:p w14:paraId="47A439C8" w14:textId="77777777" w:rsidR="00545FD7" w:rsidRPr="00545FD7" w:rsidRDefault="00545FD7" w:rsidP="00545FD7">
      <w:pPr>
        <w:rPr>
          <w:rFonts w:ascii="Calibri" w:eastAsia="Times New Roman" w:hAnsi="Calibri" w:cs="Calibri"/>
          <w:b/>
          <w:bCs/>
        </w:rPr>
      </w:pPr>
      <w:r w:rsidRPr="00545FD7">
        <w:rPr>
          <w:rFonts w:ascii="Calibri" w:eastAsia="Times New Roman" w:hAnsi="Calibri" w:cs="Calibri"/>
          <w:b/>
          <w:bCs/>
        </w:rPr>
        <w:t>Policy Review and Updates:</w:t>
      </w:r>
    </w:p>
    <w:p w14:paraId="02497C7C"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 xml:space="preserve">6.1. This </w:t>
      </w:r>
      <w:proofErr w:type="gramStart"/>
      <w:r w:rsidRPr="00545FD7">
        <w:rPr>
          <w:rFonts w:ascii="Calibri" w:eastAsia="Times New Roman" w:hAnsi="Calibri" w:cs="Calibri"/>
        </w:rPr>
        <w:t>Conflict of Interest</w:t>
      </w:r>
      <w:proofErr w:type="gramEnd"/>
      <w:r w:rsidRPr="00545FD7">
        <w:rPr>
          <w:rFonts w:ascii="Calibri" w:eastAsia="Times New Roman" w:hAnsi="Calibri" w:cs="Calibri"/>
        </w:rPr>
        <w:t xml:space="preserve"> Policy will be reviewed periodically to ensure it remains aligned with the organization's needs, best practices, and changing regulatory requirements.</w:t>
      </w:r>
    </w:p>
    <w:p w14:paraId="583957D1"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6.2. Any updates or changes to the policy will be communicated to relevant individuals, the board of directors, and incorporated into the annual conflict of interest declaration process.</w:t>
      </w:r>
    </w:p>
    <w:p w14:paraId="2AEAE4AA" w14:textId="77777777" w:rsidR="00545FD7" w:rsidRPr="00545FD7" w:rsidRDefault="00545FD7" w:rsidP="00545FD7">
      <w:pPr>
        <w:rPr>
          <w:rFonts w:ascii="Calibri" w:eastAsia="Times New Roman" w:hAnsi="Calibri" w:cs="Calibri"/>
        </w:rPr>
      </w:pPr>
    </w:p>
    <w:p w14:paraId="6056D36F" w14:textId="77777777" w:rsidR="00545FD7" w:rsidRPr="00545FD7" w:rsidRDefault="00545FD7" w:rsidP="00545FD7">
      <w:pPr>
        <w:rPr>
          <w:rFonts w:ascii="Calibri" w:eastAsia="Times New Roman" w:hAnsi="Calibri" w:cs="Calibri"/>
        </w:rPr>
      </w:pPr>
      <w:r w:rsidRPr="00545FD7">
        <w:rPr>
          <w:rFonts w:ascii="Calibri" w:eastAsia="Times New Roman" w:hAnsi="Calibri" w:cs="Calibri"/>
        </w:rPr>
        <w:t xml:space="preserve">By following this </w:t>
      </w:r>
      <w:proofErr w:type="gramStart"/>
      <w:r w:rsidRPr="00545FD7">
        <w:rPr>
          <w:rFonts w:ascii="Calibri" w:eastAsia="Times New Roman" w:hAnsi="Calibri" w:cs="Calibri"/>
        </w:rPr>
        <w:t>Conflict of Interest</w:t>
      </w:r>
      <w:proofErr w:type="gramEnd"/>
      <w:r w:rsidRPr="00545FD7">
        <w:rPr>
          <w:rFonts w:ascii="Calibri" w:eastAsia="Times New Roman" w:hAnsi="Calibri" w:cs="Calibri"/>
        </w:rPr>
        <w:t xml:space="preserve"> Policy, we establish guidelines for the identification and management of potential conflicts of interest, ensuring the integrity, transparency, and credibility of our organization. Clear policies and procedures promote responsible decision-making and protect the interests of the organization and its stakeholders. If you have any questions or require further guidance regarding conflicts of interest, please contact the designated authority within the organization.</w:t>
      </w:r>
    </w:p>
    <w:p w14:paraId="7DFA3AC3" w14:textId="77777777" w:rsidR="00545FD7" w:rsidRPr="00545FD7" w:rsidRDefault="00545FD7" w:rsidP="00545FD7">
      <w:pPr>
        <w:rPr>
          <w:rFonts w:ascii="Calibri" w:eastAsia="Times New Roman" w:hAnsi="Calibri" w:cs="Calibri"/>
        </w:rPr>
      </w:pPr>
    </w:p>
    <w:p w14:paraId="2671508B" w14:textId="55470EB5" w:rsidR="003D4CDE" w:rsidRPr="00545FD7" w:rsidRDefault="00F03AAD" w:rsidP="00F03AAD">
      <w:pPr>
        <w:rPr>
          <w:rFonts w:ascii="Calibri" w:eastAsia="Times New Roman" w:hAnsi="Calibri" w:cs="Calibri"/>
          <w:i/>
          <w:iCs/>
        </w:rPr>
      </w:pPr>
      <w:r w:rsidRPr="00F03AAD">
        <w:rPr>
          <w:rFonts w:ascii="Calibri" w:eastAsia="Times New Roman" w:hAnsi="Calibri" w:cs="Calibri"/>
          <w:i/>
          <w:iCs/>
        </w:rPr>
        <w:lastRenderedPageBreak/>
        <w:t>The templates provided are for general guidance only and not legal advice. Their use is at your own risk, and we are not liable for any damages arising from their use. Consult legal or professional advisors for tailored policies.</w:t>
      </w:r>
    </w:p>
    <w:sectPr w:rsidR="003D4CDE" w:rsidRPr="00545F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1887F" w14:textId="77777777" w:rsidR="00420A65" w:rsidRDefault="00420A65" w:rsidP="0032163F">
      <w:pPr>
        <w:spacing w:after="0" w:line="240" w:lineRule="auto"/>
      </w:pPr>
      <w:r>
        <w:separator/>
      </w:r>
    </w:p>
  </w:endnote>
  <w:endnote w:type="continuationSeparator" w:id="0">
    <w:p w14:paraId="4078C317" w14:textId="77777777" w:rsidR="00420A65" w:rsidRDefault="00420A65"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B9E6" w14:textId="77777777" w:rsidR="00420A65" w:rsidRDefault="00420A65" w:rsidP="0032163F">
      <w:pPr>
        <w:spacing w:after="0" w:line="240" w:lineRule="auto"/>
      </w:pPr>
      <w:r>
        <w:separator/>
      </w:r>
    </w:p>
  </w:footnote>
  <w:footnote w:type="continuationSeparator" w:id="0">
    <w:p w14:paraId="2B44E09C" w14:textId="77777777" w:rsidR="00420A65" w:rsidRDefault="00420A65"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25CF3"/>
    <w:rsid w:val="000A7921"/>
    <w:rsid w:val="00111457"/>
    <w:rsid w:val="001738AB"/>
    <w:rsid w:val="001854A2"/>
    <w:rsid w:val="002569A1"/>
    <w:rsid w:val="0032163F"/>
    <w:rsid w:val="0033256C"/>
    <w:rsid w:val="0038708B"/>
    <w:rsid w:val="00397F44"/>
    <w:rsid w:val="003D4CDE"/>
    <w:rsid w:val="00420A65"/>
    <w:rsid w:val="00461A6E"/>
    <w:rsid w:val="0046742A"/>
    <w:rsid w:val="004E6E93"/>
    <w:rsid w:val="00545FD7"/>
    <w:rsid w:val="005826FE"/>
    <w:rsid w:val="0059253A"/>
    <w:rsid w:val="00600811"/>
    <w:rsid w:val="006F5D84"/>
    <w:rsid w:val="00774B75"/>
    <w:rsid w:val="007A1059"/>
    <w:rsid w:val="007A4AF3"/>
    <w:rsid w:val="00851A65"/>
    <w:rsid w:val="008F4F5F"/>
    <w:rsid w:val="00970246"/>
    <w:rsid w:val="00997250"/>
    <w:rsid w:val="009E4D63"/>
    <w:rsid w:val="00A867A5"/>
    <w:rsid w:val="00A924D3"/>
    <w:rsid w:val="00CB1376"/>
    <w:rsid w:val="00D839D1"/>
    <w:rsid w:val="00DA2A54"/>
    <w:rsid w:val="00DF284D"/>
    <w:rsid w:val="00DF5608"/>
    <w:rsid w:val="00E175DA"/>
    <w:rsid w:val="00F03AAD"/>
    <w:rsid w:val="00F43AEE"/>
    <w:rsid w:val="00F961A9"/>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 w:id="14389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2024-10-08T21:29:00Z</dcterms:created>
  <dcterms:modified xsi:type="dcterms:W3CDTF">2024-10-08T21:29:00Z</dcterms:modified>
</cp:coreProperties>
</file>